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bookmark28"/>
      <w:bookmarkStart w:id="1" w:name="bookmark27"/>
      <w:bookmarkStart w:id="2" w:name="bookmark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淮安市人民政府办公室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2019年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政府信息公开工作年度报告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本报告由淮安市人民政府办公室根据《中华人民共和国政府信息公开条例》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（国令第711号）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（以下简称《条例》）规定编制。报告所列统计期限自201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年1月1日至201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年12月31日。如对本报告有疑问，请与淮安市人民政府办公室联系（地址：淮安市翔宇南道1号，邮编：223001，电话：0517-83605210，电子邮箱：hazwgkc@163.com）。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3" w:name="bookmark30"/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今年来，我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坚持“以公开为常态，不公开为例外”原则，深入贯彻落实《条例》及国家、省关于政务公开有关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，在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政府信息主动公开、依申请公开、政府信息管理、平台建设、监督保障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等方面持续发力，取得了明显成效。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我办作为全市政府信息公开的主管部门，</w:t>
      </w: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在推进政务公开工作中探索出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了一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特色做法，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淮安市政务公开助力脱贫攻坚“一路阳光”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被国务院办公厅《政务公开工作交流》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2019年第10期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（一）新《条例》宣传教育培训情况。</w:t>
      </w:r>
      <w:r>
        <w:rPr>
          <w:rFonts w:ascii="Times New Roman" w:hAnsi="Times New Roman" w:eastAsia="方正仿宋_GBK"/>
          <w:color w:val="000000"/>
          <w:sz w:val="32"/>
          <w:szCs w:val="32"/>
        </w:rPr>
        <w:t>围绕贯彻新条例，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公开队伍专题培训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/>
          <w:color w:val="000000"/>
          <w:sz w:val="32"/>
          <w:szCs w:val="32"/>
        </w:rPr>
        <w:t>对全市政务公开队伍进行了专题培训。印发了《关于做好新条例学习贯彻及工作有序衔接的通知》，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要求</w:t>
      </w:r>
      <w:r>
        <w:rPr>
          <w:rFonts w:ascii="Times New Roman" w:hAnsi="Times New Roman" w:eastAsia="方正仿宋_GBK"/>
          <w:color w:val="000000"/>
          <w:sz w:val="32"/>
          <w:szCs w:val="32"/>
        </w:rPr>
        <w:t>市县两级门户网站设立新条例宣传飘窗，在各级行政机关、重要地段利用电子大屏、横幅等开展新条例宣传，营造了浓厚的宣传贯彻氛围。对照新条例各项要求，对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ascii="Times New Roman" w:hAnsi="Times New Roman" w:eastAsia="方正仿宋_GBK"/>
          <w:color w:val="000000"/>
          <w:sz w:val="32"/>
          <w:szCs w:val="32"/>
        </w:rPr>
        <w:t>政府信息公开指南和公开事项目录进行了重新梳理，并督促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县区、部门</w:t>
      </w:r>
      <w:r>
        <w:rPr>
          <w:rFonts w:ascii="Times New Roman" w:hAnsi="Times New Roman" w:eastAsia="方正仿宋_GBK"/>
          <w:color w:val="000000"/>
          <w:sz w:val="32"/>
          <w:szCs w:val="32"/>
        </w:rPr>
        <w:t>在规定时间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内</w:t>
      </w:r>
      <w:r>
        <w:rPr>
          <w:rFonts w:ascii="Times New Roman" w:hAnsi="Times New Roman" w:eastAsia="方正仿宋_GBK"/>
          <w:color w:val="000000"/>
          <w:sz w:val="32"/>
          <w:szCs w:val="32"/>
        </w:rPr>
        <w:t>更新到位。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（二）主动公开情况。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门户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网站已主动公开各类政府信息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万余条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其中政务动态信息更新量7644条，信息公开目录信息更新量4648条，概况类信息更新量125条。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加大政务公开信息化步伐，建设市数据开放网，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截至2019年底</w:t>
      </w:r>
      <w:bookmarkStart w:id="6" w:name="_GoBack"/>
      <w:bookmarkEnd w:id="6"/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归集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个部门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个数据资源，累计开放71.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万条数据，较好地满足了企业和群众的数据公开需求。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（三）依申请公开情况。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积极贯彻落实新修订的《条例》和《省政府办公厅关于规范政府信息依申请公开办理程序的意见》（苏政办发〔2018〕112号）等文件要求，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调整了依申请办理的规范化流程，完善了依申请办理协调会商机制、法律顾问审查机制等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设立了专门的依申请现场申请室，配备了必要的办公设备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依申请档案资料管理。今年以来，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我办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受理依申请公开共计5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件，行政复议和诉讼数量均为0，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其中予以公开31件，不予公开1件，无法提供22件，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依申请公开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数量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较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2018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年实现了大幅度下降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办理质量明显提升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（四）政府信息管理情况。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把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市政府门户网站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信息发布审核关，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建立健全政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务公开保密审查机制，实行AB岗制度，做到编审分离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作为牵头部门，每月定期开展信息公开网站内容保障巡查检查，</w:t>
      </w:r>
      <w:r>
        <w:rPr>
          <w:rFonts w:hint="eastAsia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督促各县区、各部门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做好机构改革后全市政府系统信息发布平台整合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迁移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和信息公开内容更新，实现了有效衔接。加强公开与业务工作嵌套，明确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市政府及政府办发文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，凡未明确公开属性的公文流转时予以退文，凡拟不主动公开的文件须经政务公开</w:t>
      </w:r>
      <w:r>
        <w:rPr>
          <w:rFonts w:hint="eastAsia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处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审查，凡应解读未解读的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新制定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文件，不予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登记编发文号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，力求做到应公开尽公开</w:t>
      </w:r>
      <w:r>
        <w:rPr>
          <w:rFonts w:hint="eastAsia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应解读尽解读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3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（五）政府信息公开平台建设情况。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发挥市政府门户网站政务公开第一平台作用，打通市直部门与市政府门户网站数据壁垒，在市政府门户网站建立统一的信息发布平台。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紧扣市委、市政府中心工作，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重点打造“淮政速递”政策解读发布品牌，打通门户网站、传统媒体、新媒体、自媒体等传播渠道，开展多层次、立体式的解读。</w:t>
      </w:r>
      <w:r>
        <w:rPr>
          <w:rFonts w:hint="eastAsia" w:eastAsia="方正仿宋_GBK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对市政府出台的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份重要文件进行重点解读，做到了应解读尽解读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组织政策简明问答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采取面上宣传与精准推送相结合的方式推送，累计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点击量超300万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eastAsia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举办市政府新闻发布会32场次，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共35家部门单位参与发布，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发布数量与部门参与度创历史新高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将政务公开数据成功植入“淮安发布”微信号及“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淮安政府网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”客户端，群众获取政府信息渠道更加多样便捷。加强对政务新媒体的规范管理力度，做好全市政务新媒体的调查摸底、整合迁移和规范培育工作，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全市政务新媒体在省政府办公厅季度检查中均取得了较好的成绩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，受到通报表扬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加大政府开放力度，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落实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《关于建立淮安市政府会议开放制度的通知》，今年召开的市政府常务会议均邀请了人大代表、政协委员、媒体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代表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列席，市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人代会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经济发展大会等重要会议采取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新媒体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直播方式扩大知晓率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组织开展了“社会各界看交通”“感知政务服务新变化”等政府开放日活动。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（六）政府信息公开监督保障情况。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高度重视政务公开工作，市政府主要领导亲自谋划将2019年作为全市政务公开重点推进年来组织实施，并在市政府全体（扩大）会议、市政府常务会议上就政务公开工作作专题部署。及时调整政务公开领导小组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严格贯彻省2019年政务公开要点各项要求，制定出台《淮安市2019年政务公开工作要点》（淮政办发〔2019〕19号），对重点任务进行细化，压实工作责任，同时编排了具有淮安特色的政务公开年度工作计划。为确保实效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将政务公开纳入2019年全市高质量跨越发展考核内容，同时作为全市政治生态评价、法治政府建设考核重要指标，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年底开展社会评议，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确保压力传导到位。引入专业第三方评估机构，每半年对全市政务公开执行情况进行测评评估，通报考核得分，对排名靠后的县区和单位进行约谈，形成了有效的工作闭环。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bookmarkEnd w:id="3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、主动公开政府信息情况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30"/>
        <w:gridCol w:w="2150"/>
        <w:gridCol w:w="1483"/>
        <w:gridCol w:w="200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本年新制作数量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本年新</w:t>
            </w:r>
          </w:p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公开数量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对外公开总数量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规范性文件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上一年项目数量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本年增/减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其他对外管理服务事项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上一年项目数量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本年增/减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处理决定数量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上一年项目数量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本年增/减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exact"/>
          <w:jc w:val="center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第二十条第（九）项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采购项目数量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采购总金额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政府集中采购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97.8万元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收到和处理政府信息公开申请情况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8"/>
        <w:gridCol w:w="1536"/>
        <w:gridCol w:w="2420"/>
        <w:gridCol w:w="806"/>
        <w:gridCol w:w="566"/>
        <w:gridCol w:w="571"/>
        <w:gridCol w:w="566"/>
        <w:gridCol w:w="571"/>
        <w:gridCol w:w="557"/>
        <w:gridCol w:w="65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448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 等于第三项加第四项之和）</w:t>
            </w:r>
          </w:p>
        </w:tc>
        <w:tc>
          <w:tcPr>
            <w:tcW w:w="429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4484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4484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 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律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服务机构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448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4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LrV"/>
            <w:vAlign w:val="center"/>
          </w:tcPr>
          <w:p>
            <w:pPr>
              <w:pStyle w:val="2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3" w:right="113" w:firstLine="0"/>
              <w:jc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7" w:hRule="exac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 形，不计其他情形）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属于国家秘密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其他法律行政止公开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危及“三安全一稳定”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属于三类内部事务信息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属于行政执法案卷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本机关不掌握相关政府信息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重复申请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要求提供公开出版物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rFonts w:hint="eastAsia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4.无正当理由大量反复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exact"/>
          <w:jc w:val="center"/>
        </w:trPr>
        <w:tc>
          <w:tcPr>
            <w:vMerge w:val="continue"/>
            <w:tcBorders>
              <w:top w:val="nil"/>
              <w:left w:val="single" w:color="auto" w:sz="4" w:space="0"/>
              <w:bottom w:val="nil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:lang w:val="en-US" w:eastAsia="en-US" w:bidi="en-US"/>
                <w14:textFill>
                  <w14:solidFill>
                    <w14:schemeClr w14:val="tx1"/>
                  </w14:solidFill>
                </w14:textFill>
              </w:rPr>
              <w:t>5.要求行政机关确认或重 新出具已获取信息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5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tcW w:w="4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34"/>
        <w:gridCol w:w="624"/>
        <w:gridCol w:w="624"/>
        <w:gridCol w:w="624"/>
        <w:gridCol w:w="566"/>
        <w:gridCol w:w="566"/>
        <w:gridCol w:w="566"/>
        <w:gridCol w:w="566"/>
        <w:gridCol w:w="566"/>
        <w:gridCol w:w="576"/>
        <w:gridCol w:w="566"/>
        <w:gridCol w:w="571"/>
        <w:gridCol w:w="566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exact"/>
          <w:jc w:val="center"/>
        </w:trPr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9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 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结果 纠正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 结果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0"/>
                <w:w w:val="10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bookmark33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</w:t>
      </w:r>
      <w:bookmarkEnd w:id="4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bookmark34"/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虽然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我办政府信息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公开工作取得了一定成绩，但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作为全市政府信息公开工作主管部门，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对照上级要求、发展需求和群众期待，依然有不少短板。主要表现在，公开的标准化规范化尚未建立，公开的刚性约束还不够强；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公开平台的传播力影响力还不够大，部分政策解读效果还不够明显；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公开队伍业务水平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的培训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还需进一步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等。下一步，我市将全面贯彻上级对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各项新要求，加快推进我市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公开工作上水平上台阶。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全面推行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基层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政务公开标准化规范化。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以《关于规范政府信息公开平台有关事项的通知》（国办公开办函〔2019〕61号）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、《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关于全面推进基层政务公开标准化规范化工作的指导意见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国办发〔2019〕54号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）等文件为指导，在省政府办公厅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坚强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领导下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，推广政务公开标准化规范化建设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试点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成果经验，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加快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建成基层政务公开标准体系，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覆盖基层政府行政权力运行全过程和政务服务全流程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提升基层政府治理能力。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全面加强政府政策传播能力建设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统筹有序开展新闻发布会工作，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进一步发挥市政府新闻发布会在信息发布、政策解读、关切回应等方面的重要作用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加强政务新媒体和政策解读工作的融合，完善提升“淮政速递”政策发布品牌，利用全市政务新媒体打造联动发布平台，建立健全政策精准推送渠道，加大政策简明问答推送力度，提升信息覆盖面、到达率。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政务公开队伍</w:t>
      </w:r>
      <w:r>
        <w:rPr>
          <w:rFonts w:hint="eastAsia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业务水平</w:t>
      </w:r>
      <w:r>
        <w:rPr>
          <w:rFonts w:hint="default" w:ascii="方正楷体_GBK" w:hAnsi="方正楷体_GBK" w:eastAsia="方正楷体_GBK" w:cs="方正楷体_GBK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牵头组织开展</w:t>
      </w:r>
      <w:r>
        <w:rPr>
          <w:rFonts w:hint="eastAsia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人员业务培训，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把政务公开特别是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条例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纳入基层领导干部培训内容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，进一步细化政务公开操作规范，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探索建立“以干代训”跟班学习模式，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开展经常性交流，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en-US" w:bidi="en-US"/>
          <w14:textFill>
            <w14:solidFill>
              <w14:schemeClr w14:val="tx1"/>
            </w14:solidFill>
          </w14:textFill>
        </w:rPr>
        <w:t>为全市政务公开工作提升夯实基础。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20" w:firstLineChars="200"/>
        <w:textAlignment w:val="auto"/>
        <w:rPr>
          <w:rFonts w:hint="eastAsia" w:ascii="黑体" w:hAnsi="黑体" w:eastAsia="黑体" w:cs="黑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无</w:t>
      </w:r>
      <w:r>
        <w:rPr>
          <w:rFonts w:hint="eastAsia" w:eastAsia="方正仿宋_GBK" w:cs="Times New Roman"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footerReference r:id="rId6" w:type="even"/>
      <w:footnotePr>
        <w:numFmt w:val="decimal"/>
      </w:footnotePr>
      <w:type w:val="continuous"/>
      <w:pgSz w:w="11900" w:h="16840"/>
      <w:pgMar w:top="1593" w:right="1529" w:bottom="1131" w:left="1486" w:header="0" w:footer="3" w:gutter="0"/>
      <w:pgNumType w:fmt="numberInDash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10038715</wp:posOffset>
              </wp:positionV>
              <wp:extent cx="140335" cy="11874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2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16111E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16111E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top:790.45pt;height:9.35pt;width:11.05pt;mso-position-horizontal:outside;mso-position-horizontal-relative:margin;mso-position-vertical-relative:page;mso-wrap-style:none;z-index:62915584;mso-width-relative:page;mso-height-relative:page;" filled="f" stroked="f" coordsize="21600,21600" o:gfxdata="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DHIZZ/1QAAAAkBAAAPAAAAAAAAAAEAIAAAACIAAABkcnMvZG93bnJl&#10;di54bWxQSwECFAAUAAAACACHTuJAAbKf8I4BAAAhAwAADgAAAAAAAAABACAAAAAkAQAAZHJzL2Uy&#10;b0RvYy54bWxQSwUGAAAAAAYABgBZAQAAJ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16111E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16111E"/>
                        <w:spacing w:val="0"/>
                        <w:w w:val="100"/>
                        <w:position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10038715</wp:posOffset>
              </wp:positionV>
              <wp:extent cx="152400" cy="11303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2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16111E"/>
                              <w:spacing w:val="0"/>
                              <w:w w:val="100"/>
                              <w:position w:val="0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16111E"/>
                              <w:spacing w:val="0"/>
                              <w:w w:val="100"/>
                              <w:position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1026" o:spt="202" type="#_x0000_t202" style="position:absolute;left:0pt;margin-top:790.45pt;height:8.9pt;width:12pt;mso-position-horizontal:outside;mso-position-horizontal-relative:margin;mso-position-vertical-relative:page;mso-wrap-style:none;z-index:62915584;mso-width-relative:page;mso-height-relative:page;" filled="f" stroked="f" coordsize="21600,21600" o:gfxdata="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zQlWJ9QAAAAJAQAADwAAAAAAAAABACAAAAAiAAAAZHJzL2Rvd25yZXYu&#10;eG1sUEsBAhQAFAAAAAgAh07iQFOgDt2NAQAAIQMAAA4AAAAAAAAAAQAgAAAAIwEAAGRycy9lMm9E&#10;b2MueG1sUEsFBgAAAAAGAAYAWQEAAC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16111E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16111E"/>
                        <w:spacing w:val="0"/>
                        <w:w w:val="100"/>
                        <w:position w:val="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17F36CA"/>
    <w:rsid w:val="0247494A"/>
    <w:rsid w:val="02FF44EE"/>
    <w:rsid w:val="035267C6"/>
    <w:rsid w:val="039B3CE7"/>
    <w:rsid w:val="03F5478C"/>
    <w:rsid w:val="04032272"/>
    <w:rsid w:val="041B5936"/>
    <w:rsid w:val="0553145C"/>
    <w:rsid w:val="06EA73E8"/>
    <w:rsid w:val="07217D85"/>
    <w:rsid w:val="074D112B"/>
    <w:rsid w:val="079552C1"/>
    <w:rsid w:val="08026596"/>
    <w:rsid w:val="09BD1CA6"/>
    <w:rsid w:val="09DD551A"/>
    <w:rsid w:val="0A9C7131"/>
    <w:rsid w:val="0ACC58D6"/>
    <w:rsid w:val="0AE31DA0"/>
    <w:rsid w:val="0B824D72"/>
    <w:rsid w:val="0C504ECD"/>
    <w:rsid w:val="0E2C7844"/>
    <w:rsid w:val="0F2004F0"/>
    <w:rsid w:val="0F2E1EE1"/>
    <w:rsid w:val="0FBA1269"/>
    <w:rsid w:val="102C3EC9"/>
    <w:rsid w:val="107D7854"/>
    <w:rsid w:val="11D04251"/>
    <w:rsid w:val="125D42CE"/>
    <w:rsid w:val="12D333F9"/>
    <w:rsid w:val="13312F9B"/>
    <w:rsid w:val="1394342C"/>
    <w:rsid w:val="13FE1AA3"/>
    <w:rsid w:val="14256D38"/>
    <w:rsid w:val="144B0D6B"/>
    <w:rsid w:val="14997FAE"/>
    <w:rsid w:val="14B67E2B"/>
    <w:rsid w:val="155E6F37"/>
    <w:rsid w:val="16170B1D"/>
    <w:rsid w:val="16627363"/>
    <w:rsid w:val="16693B28"/>
    <w:rsid w:val="17041953"/>
    <w:rsid w:val="180409B2"/>
    <w:rsid w:val="18354F86"/>
    <w:rsid w:val="1847207B"/>
    <w:rsid w:val="184C624E"/>
    <w:rsid w:val="18CC7853"/>
    <w:rsid w:val="18F81CC1"/>
    <w:rsid w:val="1A2E697A"/>
    <w:rsid w:val="1B345DE0"/>
    <w:rsid w:val="1B3B4F85"/>
    <w:rsid w:val="1BB3179B"/>
    <w:rsid w:val="1D7C7AFB"/>
    <w:rsid w:val="1DF70836"/>
    <w:rsid w:val="1E674EBE"/>
    <w:rsid w:val="1EE13609"/>
    <w:rsid w:val="1EF84075"/>
    <w:rsid w:val="1F9C605C"/>
    <w:rsid w:val="20703858"/>
    <w:rsid w:val="21434C3E"/>
    <w:rsid w:val="21C11F90"/>
    <w:rsid w:val="22F411E5"/>
    <w:rsid w:val="231523BD"/>
    <w:rsid w:val="23EA3239"/>
    <w:rsid w:val="24334CBC"/>
    <w:rsid w:val="24420E19"/>
    <w:rsid w:val="25A84483"/>
    <w:rsid w:val="262919A3"/>
    <w:rsid w:val="26876EDC"/>
    <w:rsid w:val="26DB1EEF"/>
    <w:rsid w:val="271E2AAD"/>
    <w:rsid w:val="27E93BD6"/>
    <w:rsid w:val="28457662"/>
    <w:rsid w:val="29202FC8"/>
    <w:rsid w:val="29BC039A"/>
    <w:rsid w:val="2A076793"/>
    <w:rsid w:val="2B7F0078"/>
    <w:rsid w:val="2CA644D7"/>
    <w:rsid w:val="2E8D4DBA"/>
    <w:rsid w:val="2F2D50DD"/>
    <w:rsid w:val="302F117E"/>
    <w:rsid w:val="31D83B8B"/>
    <w:rsid w:val="31DE32B6"/>
    <w:rsid w:val="32497B6C"/>
    <w:rsid w:val="32D644A8"/>
    <w:rsid w:val="33827558"/>
    <w:rsid w:val="34013727"/>
    <w:rsid w:val="34DF0138"/>
    <w:rsid w:val="35E41BB1"/>
    <w:rsid w:val="364567FE"/>
    <w:rsid w:val="36E55DE0"/>
    <w:rsid w:val="37BE18E9"/>
    <w:rsid w:val="38664097"/>
    <w:rsid w:val="38707733"/>
    <w:rsid w:val="388A7380"/>
    <w:rsid w:val="3997304C"/>
    <w:rsid w:val="3A4E0DB3"/>
    <w:rsid w:val="3AD245D1"/>
    <w:rsid w:val="3C4F7D9B"/>
    <w:rsid w:val="3C541231"/>
    <w:rsid w:val="3C905C32"/>
    <w:rsid w:val="3CB075A3"/>
    <w:rsid w:val="3FBB4923"/>
    <w:rsid w:val="40677CA4"/>
    <w:rsid w:val="40781D5D"/>
    <w:rsid w:val="408E0876"/>
    <w:rsid w:val="40F66B02"/>
    <w:rsid w:val="43040AE9"/>
    <w:rsid w:val="44A3094E"/>
    <w:rsid w:val="45502D29"/>
    <w:rsid w:val="4608271D"/>
    <w:rsid w:val="47C2707E"/>
    <w:rsid w:val="485D6D88"/>
    <w:rsid w:val="48BC15AD"/>
    <w:rsid w:val="48CB3BF4"/>
    <w:rsid w:val="49BD1BE3"/>
    <w:rsid w:val="4A2E7205"/>
    <w:rsid w:val="4B91792B"/>
    <w:rsid w:val="4CDA2401"/>
    <w:rsid w:val="4DB23D93"/>
    <w:rsid w:val="4E524BE4"/>
    <w:rsid w:val="4E8B76AF"/>
    <w:rsid w:val="4EB67ECC"/>
    <w:rsid w:val="4F1354EA"/>
    <w:rsid w:val="4FC84908"/>
    <w:rsid w:val="4FE734E3"/>
    <w:rsid w:val="50834D3E"/>
    <w:rsid w:val="5091439E"/>
    <w:rsid w:val="50DD480A"/>
    <w:rsid w:val="50E51743"/>
    <w:rsid w:val="511E24D5"/>
    <w:rsid w:val="5121039B"/>
    <w:rsid w:val="51370DFE"/>
    <w:rsid w:val="532476B6"/>
    <w:rsid w:val="53812EB6"/>
    <w:rsid w:val="53951842"/>
    <w:rsid w:val="54C9439B"/>
    <w:rsid w:val="55A664AB"/>
    <w:rsid w:val="55C46C05"/>
    <w:rsid w:val="56F36C70"/>
    <w:rsid w:val="57535D08"/>
    <w:rsid w:val="576105E5"/>
    <w:rsid w:val="57C97D18"/>
    <w:rsid w:val="58377325"/>
    <w:rsid w:val="587416FE"/>
    <w:rsid w:val="58822650"/>
    <w:rsid w:val="58AF077A"/>
    <w:rsid w:val="5A281E0E"/>
    <w:rsid w:val="5A5C6A86"/>
    <w:rsid w:val="5AD554E2"/>
    <w:rsid w:val="5AF24967"/>
    <w:rsid w:val="5B2476DB"/>
    <w:rsid w:val="5B965CE9"/>
    <w:rsid w:val="5BEC5978"/>
    <w:rsid w:val="5C8729BD"/>
    <w:rsid w:val="5CAA6A12"/>
    <w:rsid w:val="5CE71F86"/>
    <w:rsid w:val="5D3A436C"/>
    <w:rsid w:val="5E0F2A68"/>
    <w:rsid w:val="5EA12A09"/>
    <w:rsid w:val="5ED612D9"/>
    <w:rsid w:val="5F64672B"/>
    <w:rsid w:val="5FEB3056"/>
    <w:rsid w:val="616744E6"/>
    <w:rsid w:val="617B0EB8"/>
    <w:rsid w:val="61805D12"/>
    <w:rsid w:val="624D1FA3"/>
    <w:rsid w:val="630E0372"/>
    <w:rsid w:val="63B94CE7"/>
    <w:rsid w:val="65685FF9"/>
    <w:rsid w:val="678F18CF"/>
    <w:rsid w:val="6801571E"/>
    <w:rsid w:val="68426593"/>
    <w:rsid w:val="69786100"/>
    <w:rsid w:val="69993365"/>
    <w:rsid w:val="6B7A4980"/>
    <w:rsid w:val="6BD36E11"/>
    <w:rsid w:val="6C05623E"/>
    <w:rsid w:val="6C561A41"/>
    <w:rsid w:val="6D847677"/>
    <w:rsid w:val="6D960955"/>
    <w:rsid w:val="6DE0547D"/>
    <w:rsid w:val="6E3953C2"/>
    <w:rsid w:val="6E8F67FC"/>
    <w:rsid w:val="6F172EA5"/>
    <w:rsid w:val="6F202543"/>
    <w:rsid w:val="70113AE1"/>
    <w:rsid w:val="712801DD"/>
    <w:rsid w:val="71DA68A3"/>
    <w:rsid w:val="71DF75D1"/>
    <w:rsid w:val="72F06814"/>
    <w:rsid w:val="75246CC7"/>
    <w:rsid w:val="76024B32"/>
    <w:rsid w:val="76AE0469"/>
    <w:rsid w:val="7716463C"/>
    <w:rsid w:val="771C07EA"/>
    <w:rsid w:val="77C35C91"/>
    <w:rsid w:val="791D5B3E"/>
    <w:rsid w:val="796F11A1"/>
    <w:rsid w:val="79BB34E4"/>
    <w:rsid w:val="7B0D1251"/>
    <w:rsid w:val="7B1F4EC8"/>
    <w:rsid w:val="7C0C5F55"/>
    <w:rsid w:val="7CC83CBB"/>
    <w:rsid w:val="7D05197E"/>
    <w:rsid w:val="7D450E22"/>
    <w:rsid w:val="7D5B0C1E"/>
    <w:rsid w:val="7EAD24A9"/>
    <w:rsid w:val="7FA20CED"/>
    <w:rsid w:val="7FE22C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20"/>
      <w:jc w:val="left"/>
    </w:pPr>
    <w:rPr>
      <w:rFonts w:ascii="仿宋" w:hAnsi="仿宋" w:eastAsia="仿宋"/>
      <w:kern w:val="0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333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  <w:rPr>
      <w:i/>
    </w:rPr>
  </w:style>
  <w:style w:type="character" w:styleId="11">
    <w:name w:val="Hyperlink"/>
    <w:basedOn w:val="6"/>
    <w:qFormat/>
    <w:uiPriority w:val="0"/>
    <w:rPr>
      <w:color w:val="333333"/>
      <w:u w:val="none"/>
    </w:rPr>
  </w:style>
  <w:style w:type="character" w:styleId="12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Cite"/>
    <w:basedOn w:val="6"/>
    <w:qFormat/>
    <w:uiPriority w:val="0"/>
  </w:style>
  <w:style w:type="character" w:styleId="14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5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6">
    <w:name w:val="Heading #1|1_"/>
    <w:basedOn w:val="6"/>
    <w:link w:val="17"/>
    <w:qFormat/>
    <w:uiPriority w:val="0"/>
    <w:rPr>
      <w:rFonts w:ascii="宋体" w:hAnsi="宋体" w:eastAsia="宋体" w:cs="宋体"/>
      <w:sz w:val="60"/>
      <w:szCs w:val="60"/>
      <w:u w:val="none"/>
      <w:shd w:val="clear" w:color="auto" w:fill="auto"/>
      <w:lang w:val="zh-TW" w:eastAsia="zh-TW" w:bidi="zh-TW"/>
    </w:rPr>
  </w:style>
  <w:style w:type="paragraph" w:customStyle="1" w:styleId="17">
    <w:name w:val="Heading #1|1"/>
    <w:basedOn w:val="1"/>
    <w:link w:val="16"/>
    <w:qFormat/>
    <w:uiPriority w:val="0"/>
    <w:pPr>
      <w:widowControl w:val="0"/>
      <w:shd w:val="clear" w:color="auto" w:fill="auto"/>
      <w:spacing w:after="720"/>
      <w:jc w:val="center"/>
      <w:outlineLvl w:val="0"/>
    </w:pPr>
    <w:rPr>
      <w:rFonts w:ascii="宋体" w:hAnsi="宋体" w:eastAsia="宋体" w:cs="宋体"/>
      <w:sz w:val="60"/>
      <w:szCs w:val="60"/>
      <w:u w:val="none"/>
      <w:shd w:val="clear" w:color="auto" w:fill="auto"/>
      <w:lang w:val="zh-TW" w:eastAsia="zh-TW" w:bidi="zh-TW"/>
    </w:rPr>
  </w:style>
  <w:style w:type="character" w:customStyle="1" w:styleId="18">
    <w:name w:val="Body text|1_"/>
    <w:basedOn w:val="6"/>
    <w:link w:val="19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9">
    <w:name w:val="Body text|1"/>
    <w:basedOn w:val="1"/>
    <w:link w:val="18"/>
    <w:qFormat/>
    <w:uiPriority w:val="0"/>
    <w:pPr>
      <w:widowControl w:val="0"/>
      <w:shd w:val="clear" w:color="auto" w:fill="auto"/>
      <w:spacing w:line="44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0">
    <w:name w:val="Heading #2|1_"/>
    <w:basedOn w:val="6"/>
    <w:link w:val="21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21">
    <w:name w:val="Heading #2|1"/>
    <w:basedOn w:val="1"/>
    <w:link w:val="20"/>
    <w:qFormat/>
    <w:uiPriority w:val="0"/>
    <w:pPr>
      <w:widowControl w:val="0"/>
      <w:shd w:val="clear" w:color="auto" w:fill="auto"/>
      <w:spacing w:after="380" w:line="746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22">
    <w:name w:val="Header or footer|2_"/>
    <w:basedOn w:val="6"/>
    <w:link w:val="23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3">
    <w:name w:val="Header or footer|2"/>
    <w:basedOn w:val="1"/>
    <w:link w:val="2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4">
    <w:name w:val="Header or footer|1_"/>
    <w:basedOn w:val="6"/>
    <w:link w:val="25"/>
    <w:qFormat/>
    <w:uiPriority w:val="0"/>
    <w:rPr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5">
    <w:name w:val="Header or footer|1"/>
    <w:basedOn w:val="1"/>
    <w:link w:val="24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26">
    <w:name w:val="Other|1_"/>
    <w:basedOn w:val="6"/>
    <w:link w:val="2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7">
    <w:name w:val="Other|1"/>
    <w:basedOn w:val="1"/>
    <w:link w:val="26"/>
    <w:qFormat/>
    <w:uiPriority w:val="0"/>
    <w:pPr>
      <w:widowControl w:val="0"/>
      <w:shd w:val="clear" w:color="auto" w:fill="auto"/>
      <w:spacing w:line="44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8">
    <w:name w:val="Other|2_"/>
    <w:basedOn w:val="6"/>
    <w:link w:val="2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9">
    <w:name w:val="Other|2"/>
    <w:basedOn w:val="1"/>
    <w:link w:val="28"/>
    <w:qFormat/>
    <w:uiPriority w:val="0"/>
    <w:pPr>
      <w:widowControl w:val="0"/>
      <w:shd w:val="clear" w:color="auto" w:fill="auto"/>
      <w:spacing w:line="215" w:lineRule="exact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30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ScaleCrop>false</ScaleCrop>
  <LinksUpToDate>false</LinksUpToDate>
  <Application>WPS Office_11.1.0.9339_F1E327BC-269C-435d-A152-05C5408002CA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2020-01-02T08:43:00Z</dcterms:created>
  <dc:creator>王守强</dc:creator>
  <cp:lastModifiedBy>石洪伟</cp:lastModifiedBy>
  <cp:lastPrinted>2020-01-17T07:16:00Z</cp:lastPrinted>
  <dcterms:modified xsi:type="dcterms:W3CDTF">2020-02-03T02:44:52Z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